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43" w:rsidRDefault="000D2143" w:rsidP="000D2143">
      <w:pPr>
        <w:ind w:firstLineChars="0" w:firstLine="0"/>
        <w:jc w:val="center"/>
        <w:rPr>
          <w:rFonts w:ascii="华文中宋" w:eastAsia="华文中宋" w:hAnsi="华文中宋" w:hint="eastAsia"/>
          <w:sz w:val="44"/>
          <w:szCs w:val="44"/>
        </w:rPr>
      </w:pPr>
      <w:r w:rsidRPr="000D2143">
        <w:rPr>
          <w:rFonts w:ascii="华文中宋" w:eastAsia="华文中宋" w:hAnsi="华文中宋" w:hint="eastAsia"/>
          <w:sz w:val="44"/>
          <w:szCs w:val="44"/>
        </w:rPr>
        <w:t>“北京市优秀工程勘察设计奖”获奖项目</w:t>
      </w:r>
    </w:p>
    <w:p w:rsidR="000D2143" w:rsidRDefault="000D2143" w:rsidP="000D2143">
      <w:pPr>
        <w:ind w:firstLineChars="0" w:firstLine="0"/>
        <w:jc w:val="center"/>
        <w:rPr>
          <w:rFonts w:ascii="华文中宋" w:eastAsia="华文中宋" w:hAnsi="华文中宋" w:hint="eastAsia"/>
          <w:sz w:val="44"/>
          <w:szCs w:val="44"/>
        </w:rPr>
      </w:pPr>
      <w:r w:rsidRPr="000D2143">
        <w:rPr>
          <w:rFonts w:ascii="华文中宋" w:eastAsia="华文中宋" w:hAnsi="华文中宋" w:hint="eastAsia"/>
          <w:sz w:val="44"/>
          <w:szCs w:val="44"/>
        </w:rPr>
        <w:t>案例</w:t>
      </w:r>
      <w:proofErr w:type="gramStart"/>
      <w:r w:rsidRPr="000D2143">
        <w:rPr>
          <w:rFonts w:ascii="华文中宋" w:eastAsia="华文中宋" w:hAnsi="华文中宋" w:hint="eastAsia"/>
          <w:sz w:val="44"/>
          <w:szCs w:val="44"/>
        </w:rPr>
        <w:t>库使用</w:t>
      </w:r>
      <w:proofErr w:type="gramEnd"/>
      <w:r w:rsidRPr="000D2143">
        <w:rPr>
          <w:rFonts w:ascii="华文中宋" w:eastAsia="华文中宋" w:hAnsi="华文中宋" w:hint="eastAsia"/>
          <w:sz w:val="44"/>
          <w:szCs w:val="44"/>
        </w:rPr>
        <w:t>说明</w:t>
      </w:r>
    </w:p>
    <w:p w:rsidR="000D2143" w:rsidRPr="000D2143" w:rsidRDefault="000D2143" w:rsidP="000D2143">
      <w:pPr>
        <w:ind w:firstLineChars="0" w:firstLine="0"/>
        <w:jc w:val="center"/>
        <w:rPr>
          <w:rFonts w:ascii="华文中宋" w:eastAsia="华文中宋" w:hAnsi="华文中宋" w:hint="eastAsia"/>
          <w:sz w:val="28"/>
          <w:szCs w:val="28"/>
        </w:rPr>
      </w:pPr>
    </w:p>
    <w:p w:rsidR="000D2143" w:rsidRPr="007709AE" w:rsidRDefault="000D2143" w:rsidP="000D2143">
      <w:pPr>
        <w:spacing w:line="500" w:lineRule="exact"/>
        <w:ind w:firstLine="560"/>
        <w:rPr>
          <w:rFonts w:ascii="仿宋_GB2312" w:eastAsia="仿宋_GB2312" w:hAnsi="华文楷体" w:hint="eastAsia"/>
          <w:sz w:val="28"/>
          <w:szCs w:val="28"/>
        </w:rPr>
      </w:pPr>
      <w:r w:rsidRPr="007709AE">
        <w:rPr>
          <w:rFonts w:ascii="仿宋_GB2312" w:eastAsia="仿宋_GB2312" w:hAnsi="华文楷体" w:hint="eastAsia"/>
          <w:sz w:val="28"/>
          <w:szCs w:val="28"/>
        </w:rPr>
        <w:t>为贯彻执行《北京城市总体规划（2016-2035）》的总体要求，强化“首都风范、古都风韵、时代风貌”的城市特色，提升北京城市设计水平，突出“适用、经济、绿色、美观”的建筑指导方针，在北京地区勘察设计行业中推出“精品工程”，宣传并鼓励优秀企业和优秀工程技术人员，引领行业企业以品质促发展，通过市优评选活动努力打造“北京设计”品牌，扩大行业企业在建筑领域和社会的影响力，帮助北京地区行业企业</w:t>
      </w:r>
      <w:r w:rsidR="007709AE">
        <w:rPr>
          <w:rFonts w:ascii="仿宋_GB2312" w:eastAsia="仿宋_GB2312" w:hAnsi="华文楷体" w:hint="eastAsia"/>
          <w:sz w:val="28"/>
          <w:szCs w:val="28"/>
        </w:rPr>
        <w:t>保持国内市场的竞争力，进而参与国际市场的竞争。为此，</w:t>
      </w:r>
      <w:r w:rsidR="007709AE" w:rsidRPr="007709AE">
        <w:rPr>
          <w:rFonts w:ascii="仿宋_GB2312" w:eastAsia="仿宋_GB2312" w:hAnsi="华文楷体" w:hint="eastAsia"/>
          <w:sz w:val="28"/>
          <w:szCs w:val="28"/>
        </w:rPr>
        <w:t>北京工程勘察设计行业协会开发了“北京市优秀工程勘察设计奖”获奖作品案例库</w:t>
      </w:r>
      <w:r w:rsidRPr="007709AE">
        <w:rPr>
          <w:rFonts w:ascii="仿宋_GB2312" w:eastAsia="仿宋_GB2312" w:hAnsi="华文楷体" w:hint="eastAsia"/>
          <w:sz w:val="28"/>
          <w:szCs w:val="28"/>
        </w:rPr>
        <w:t>。</w:t>
      </w:r>
    </w:p>
    <w:p w:rsidR="00171CC8" w:rsidRDefault="000D2143" w:rsidP="007709AE">
      <w:pPr>
        <w:ind w:firstLine="560"/>
        <w:rPr>
          <w:rFonts w:ascii="仿宋_GB2312" w:eastAsia="仿宋_GB2312" w:hint="eastAsia"/>
          <w:sz w:val="28"/>
          <w:szCs w:val="28"/>
        </w:rPr>
      </w:pPr>
      <w:r w:rsidRPr="007709AE">
        <w:rPr>
          <w:rFonts w:ascii="仿宋_GB2312" w:eastAsia="仿宋_GB2312" w:hint="eastAsia"/>
          <w:sz w:val="28"/>
          <w:szCs w:val="28"/>
        </w:rPr>
        <w:t>案例库</w:t>
      </w:r>
      <w:r w:rsidR="007709AE">
        <w:rPr>
          <w:rFonts w:ascii="仿宋_GB2312" w:eastAsia="仿宋_GB2312" w:hint="eastAsia"/>
          <w:sz w:val="28"/>
          <w:szCs w:val="28"/>
        </w:rPr>
        <w:t>将</w:t>
      </w:r>
      <w:r w:rsidR="00171CC8">
        <w:rPr>
          <w:rFonts w:ascii="仿宋_GB2312" w:eastAsia="仿宋_GB2312" w:hint="eastAsia"/>
          <w:sz w:val="28"/>
          <w:szCs w:val="28"/>
        </w:rPr>
        <w:t>获奖项目</w:t>
      </w:r>
      <w:r w:rsidR="007709AE">
        <w:rPr>
          <w:rFonts w:ascii="仿宋_GB2312" w:eastAsia="仿宋_GB2312" w:hint="eastAsia"/>
          <w:sz w:val="28"/>
          <w:szCs w:val="28"/>
        </w:rPr>
        <w:t>表单式展示方式扩展为可视化、多角度的展示方式，在展示</w:t>
      </w:r>
      <w:r w:rsidRPr="007709AE">
        <w:rPr>
          <w:rFonts w:ascii="仿宋_GB2312" w:eastAsia="仿宋_GB2312" w:hint="eastAsia"/>
          <w:sz w:val="28"/>
          <w:szCs w:val="28"/>
        </w:rPr>
        <w:t>获奖项目、</w:t>
      </w:r>
      <w:r w:rsidR="007709AE">
        <w:rPr>
          <w:rFonts w:ascii="仿宋_GB2312" w:eastAsia="仿宋_GB2312" w:hint="eastAsia"/>
          <w:sz w:val="28"/>
          <w:szCs w:val="28"/>
        </w:rPr>
        <w:t>获奖单位和</w:t>
      </w:r>
      <w:r w:rsidRPr="007709AE">
        <w:rPr>
          <w:rFonts w:ascii="仿宋_GB2312" w:eastAsia="仿宋_GB2312" w:hint="eastAsia"/>
          <w:sz w:val="28"/>
          <w:szCs w:val="28"/>
        </w:rPr>
        <w:t>获奖人员</w:t>
      </w:r>
      <w:r w:rsidR="007709AE">
        <w:rPr>
          <w:rFonts w:ascii="仿宋_GB2312" w:eastAsia="仿宋_GB2312" w:hint="eastAsia"/>
          <w:sz w:val="28"/>
          <w:szCs w:val="28"/>
        </w:rPr>
        <w:t>的同时，也为上下游的建设单位、施工企业和设备及材料供应商参与项目展示和宣传本企业提供了空间，以突出勘察设计在项目建设过程中的总体策划和引领作用，以及展现完成一个“精品工程”，需要建筑行业多专业</w:t>
      </w:r>
      <w:r w:rsidR="00171CC8">
        <w:rPr>
          <w:rFonts w:ascii="仿宋_GB2312" w:eastAsia="仿宋_GB2312" w:hint="eastAsia"/>
          <w:sz w:val="28"/>
          <w:szCs w:val="28"/>
        </w:rPr>
        <w:t>、多企业</w:t>
      </w:r>
      <w:r w:rsidR="007709AE">
        <w:rPr>
          <w:rFonts w:ascii="仿宋_GB2312" w:eastAsia="仿宋_GB2312" w:hint="eastAsia"/>
          <w:sz w:val="28"/>
          <w:szCs w:val="28"/>
        </w:rPr>
        <w:t>紧密协同的团队合作精神。</w:t>
      </w:r>
    </w:p>
    <w:p w:rsidR="00171CC8" w:rsidRDefault="00171CC8" w:rsidP="007709AE">
      <w:pPr>
        <w:ind w:firstLine="560"/>
        <w:rPr>
          <w:rFonts w:ascii="仿宋_GB2312" w:eastAsia="仿宋_GB2312" w:hint="eastAsia"/>
          <w:sz w:val="28"/>
          <w:szCs w:val="28"/>
        </w:rPr>
      </w:pPr>
      <w:r>
        <w:rPr>
          <w:rFonts w:ascii="仿宋_GB2312" w:eastAsia="仿宋_GB2312" w:hint="eastAsia"/>
          <w:sz w:val="28"/>
          <w:szCs w:val="28"/>
        </w:rPr>
        <w:t>一、系统的基本功能</w:t>
      </w:r>
    </w:p>
    <w:p w:rsidR="00171CC8" w:rsidRDefault="00171CC8" w:rsidP="007709AE">
      <w:pPr>
        <w:ind w:firstLine="560"/>
        <w:rPr>
          <w:rFonts w:ascii="仿宋_GB2312" w:eastAsia="仿宋_GB2312" w:hint="eastAsia"/>
          <w:sz w:val="28"/>
          <w:szCs w:val="28"/>
        </w:rPr>
      </w:pPr>
      <w:r>
        <w:rPr>
          <w:rFonts w:ascii="仿宋_GB2312" w:eastAsia="仿宋_GB2312" w:hint="eastAsia"/>
          <w:sz w:val="28"/>
          <w:szCs w:val="28"/>
        </w:rPr>
        <w:t>1、获奖项目的查询功能：支持模糊查询方式，分别按照获奖项目名称、所获奖项、奖等、获奖人员、获奖单位进行查询；</w:t>
      </w:r>
    </w:p>
    <w:p w:rsidR="00171CC8" w:rsidRDefault="00171CC8" w:rsidP="007709AE">
      <w:pPr>
        <w:ind w:firstLine="560"/>
        <w:rPr>
          <w:rFonts w:ascii="仿宋_GB2312" w:eastAsia="仿宋_GB2312" w:hint="eastAsia"/>
          <w:sz w:val="28"/>
          <w:szCs w:val="28"/>
        </w:rPr>
      </w:pPr>
      <w:r>
        <w:rPr>
          <w:rFonts w:ascii="仿宋_GB2312" w:eastAsia="仿宋_GB2312" w:hint="eastAsia"/>
          <w:sz w:val="28"/>
          <w:szCs w:val="28"/>
        </w:rPr>
        <w:t>2、获奖项目的展示内容：在每一个获奖项目中，均可看到获奖项目名称、项目基本情况、获奖单位及人员、合作单位，以及获奖项</w:t>
      </w:r>
      <w:r>
        <w:rPr>
          <w:rFonts w:ascii="仿宋_GB2312" w:eastAsia="仿宋_GB2312" w:hint="eastAsia"/>
          <w:sz w:val="28"/>
          <w:szCs w:val="28"/>
        </w:rPr>
        <w:lastRenderedPageBreak/>
        <w:t>目的共同建设单位（建设单位、施工单位和设备及材料供应商）；</w:t>
      </w:r>
    </w:p>
    <w:p w:rsidR="00171CC8" w:rsidRDefault="00171CC8" w:rsidP="007709AE">
      <w:pPr>
        <w:ind w:firstLine="560"/>
        <w:rPr>
          <w:rFonts w:ascii="仿宋_GB2312" w:eastAsia="仿宋_GB2312" w:hint="eastAsia"/>
          <w:sz w:val="28"/>
          <w:szCs w:val="28"/>
        </w:rPr>
      </w:pPr>
      <w:r>
        <w:rPr>
          <w:rFonts w:ascii="仿宋_GB2312" w:eastAsia="仿宋_GB2312" w:hint="eastAsia"/>
          <w:sz w:val="28"/>
          <w:szCs w:val="28"/>
        </w:rPr>
        <w:t>3、获奖单位的展示：在获奖项目页面，可点击链接查询获奖单位的信息和该单位全部的获奖项目；</w:t>
      </w:r>
    </w:p>
    <w:p w:rsidR="00171CC8" w:rsidRDefault="00171CC8" w:rsidP="007709AE">
      <w:pPr>
        <w:ind w:firstLine="560"/>
        <w:rPr>
          <w:rFonts w:ascii="仿宋_GB2312" w:eastAsia="仿宋_GB2312" w:hint="eastAsia"/>
          <w:sz w:val="28"/>
          <w:szCs w:val="28"/>
        </w:rPr>
      </w:pPr>
      <w:r>
        <w:rPr>
          <w:rFonts w:ascii="仿宋_GB2312" w:eastAsia="仿宋_GB2312" w:hint="eastAsia"/>
          <w:sz w:val="28"/>
          <w:szCs w:val="28"/>
        </w:rPr>
        <w:t>4、</w:t>
      </w:r>
      <w:r w:rsidR="001D4C2D">
        <w:rPr>
          <w:rFonts w:ascii="仿宋_GB2312" w:eastAsia="仿宋_GB2312" w:hint="eastAsia"/>
          <w:sz w:val="28"/>
          <w:szCs w:val="28"/>
        </w:rPr>
        <w:t>获奖人员展示：可以展示获奖人员的基本信息，以及个性化的可编辑信息，同时可以搜索展示该人员所获得的全部奖项；</w:t>
      </w:r>
    </w:p>
    <w:p w:rsidR="001D4C2D" w:rsidRDefault="001D4C2D" w:rsidP="007709AE">
      <w:pPr>
        <w:ind w:firstLine="560"/>
        <w:rPr>
          <w:rFonts w:ascii="仿宋_GB2312" w:eastAsia="仿宋_GB2312" w:hint="eastAsia"/>
          <w:sz w:val="28"/>
          <w:szCs w:val="28"/>
        </w:rPr>
      </w:pPr>
      <w:r>
        <w:rPr>
          <w:rFonts w:ascii="仿宋_GB2312" w:eastAsia="仿宋_GB2312" w:hint="eastAsia"/>
          <w:sz w:val="28"/>
          <w:szCs w:val="28"/>
        </w:rPr>
        <w:t>5、共同建设单位：通过注册审核后，可编辑展示内容，并支持外链接。</w:t>
      </w:r>
    </w:p>
    <w:p w:rsidR="001D4C2D" w:rsidRPr="001D4C2D" w:rsidRDefault="001D4C2D" w:rsidP="001D4C2D">
      <w:pPr>
        <w:ind w:firstLine="560"/>
        <w:rPr>
          <w:rFonts w:ascii="仿宋_GB2312" w:eastAsia="仿宋_GB2312" w:hint="eastAsia"/>
          <w:sz w:val="28"/>
          <w:szCs w:val="28"/>
        </w:rPr>
      </w:pPr>
      <w:r>
        <w:rPr>
          <w:rFonts w:ascii="仿宋_GB2312" w:eastAsia="仿宋_GB2312" w:hint="eastAsia"/>
          <w:sz w:val="28"/>
          <w:szCs w:val="28"/>
        </w:rPr>
        <w:t>二、使用权限管理</w:t>
      </w:r>
    </w:p>
    <w:p w:rsidR="009E617C" w:rsidRDefault="009E617C" w:rsidP="007709AE">
      <w:pPr>
        <w:ind w:firstLine="560"/>
        <w:rPr>
          <w:rFonts w:ascii="仿宋_GB2312" w:eastAsia="仿宋_GB2312" w:hint="eastAsia"/>
          <w:sz w:val="28"/>
          <w:szCs w:val="28"/>
        </w:rPr>
      </w:pPr>
      <w:r>
        <w:rPr>
          <w:rFonts w:ascii="仿宋_GB2312" w:eastAsia="仿宋_GB2312" w:hint="eastAsia"/>
          <w:sz w:val="28"/>
          <w:szCs w:val="28"/>
        </w:rPr>
        <w:t>该系统按照使用者不同，分配不同的权限，使用者及权限范围如下：</w:t>
      </w:r>
    </w:p>
    <w:p w:rsidR="009E617C" w:rsidRDefault="009E617C" w:rsidP="007709AE">
      <w:pPr>
        <w:ind w:firstLine="560"/>
        <w:rPr>
          <w:rFonts w:ascii="仿宋_GB2312" w:eastAsia="仿宋_GB2312" w:hint="eastAsia"/>
          <w:sz w:val="28"/>
          <w:szCs w:val="28"/>
        </w:rPr>
      </w:pPr>
      <w:r>
        <w:rPr>
          <w:rFonts w:ascii="仿宋_GB2312" w:eastAsia="仿宋_GB2312" w:hint="eastAsia"/>
          <w:sz w:val="28"/>
          <w:szCs w:val="28"/>
        </w:rPr>
        <w:t>1、获奖单位：系统直接分配账号，默认登录名为单位全称，登录初始密码由协会分配，登录后可对单位基本信息、项目基本信息、项目图片和本单位的获奖人员信息进行编辑和审核；</w:t>
      </w:r>
    </w:p>
    <w:p w:rsidR="009E617C" w:rsidRDefault="009E617C" w:rsidP="007709AE">
      <w:pPr>
        <w:ind w:firstLine="560"/>
        <w:rPr>
          <w:rFonts w:ascii="仿宋_GB2312" w:eastAsia="仿宋_GB2312" w:hint="eastAsia"/>
          <w:sz w:val="28"/>
          <w:szCs w:val="28"/>
        </w:rPr>
      </w:pPr>
      <w:r>
        <w:rPr>
          <w:rFonts w:ascii="仿宋_GB2312" w:eastAsia="仿宋_GB2312" w:hint="eastAsia"/>
          <w:sz w:val="28"/>
          <w:szCs w:val="28"/>
        </w:rPr>
        <w:t>2、获奖人员：系统直接分配账号，默认登录名为所在单位申报的身份证号码（依所在单位要求决定是否开通），默认密码为经单位和协会后分配，登录后可对个人信息进行修改；</w:t>
      </w:r>
    </w:p>
    <w:p w:rsidR="009E617C" w:rsidRDefault="009E617C" w:rsidP="007709AE">
      <w:pPr>
        <w:ind w:firstLine="560"/>
        <w:rPr>
          <w:rFonts w:ascii="仿宋_GB2312" w:eastAsia="仿宋_GB2312" w:hint="eastAsia"/>
          <w:sz w:val="28"/>
          <w:szCs w:val="28"/>
        </w:rPr>
      </w:pPr>
      <w:r>
        <w:rPr>
          <w:rFonts w:ascii="仿宋_GB2312" w:eastAsia="仿宋_GB2312" w:hint="eastAsia"/>
          <w:sz w:val="28"/>
          <w:szCs w:val="28"/>
        </w:rPr>
        <w:t>3、共建单位：向协会提出申请，并经获奖单位同意后，可按照分配的账号和密码进入系统，对本单位信息进行编辑。</w:t>
      </w:r>
    </w:p>
    <w:p w:rsidR="00635DC6" w:rsidRDefault="009E617C" w:rsidP="007709AE">
      <w:pPr>
        <w:ind w:firstLine="560"/>
        <w:rPr>
          <w:rFonts w:ascii="仿宋_GB2312" w:eastAsia="仿宋_GB2312" w:hint="eastAsia"/>
          <w:sz w:val="28"/>
          <w:szCs w:val="28"/>
        </w:rPr>
      </w:pPr>
      <w:r>
        <w:rPr>
          <w:rFonts w:ascii="仿宋_GB2312" w:eastAsia="仿宋_GB2312" w:hint="eastAsia"/>
          <w:sz w:val="28"/>
          <w:szCs w:val="28"/>
        </w:rPr>
        <w:t>系统仅对处于正常状态的协会会员单位提供免费信息服务，非会员单位和非正常状态的单位，无法使用系统。</w:t>
      </w:r>
      <w:r w:rsidR="00635DC6">
        <w:rPr>
          <w:rFonts w:ascii="仿宋_GB2312" w:eastAsia="仿宋_GB2312" w:hint="eastAsia"/>
          <w:sz w:val="28"/>
          <w:szCs w:val="28"/>
        </w:rPr>
        <w:t>获奖单位、获奖人员或共建单位提供的信息，均必须经过协会和系统管理员审核后方可在系统中显示。为尊重获奖单位、获奖人员的知识产权，系统管理员不具</w:t>
      </w:r>
      <w:r w:rsidR="00635DC6">
        <w:rPr>
          <w:rFonts w:ascii="仿宋_GB2312" w:eastAsia="仿宋_GB2312" w:hint="eastAsia"/>
          <w:sz w:val="28"/>
          <w:szCs w:val="28"/>
        </w:rPr>
        <w:lastRenderedPageBreak/>
        <w:t>备对系统信息的直接操作功能，系统的全部初始信息，均由“北京市优秀工程勘察设计奖”评选</w:t>
      </w:r>
      <w:r w:rsidR="00635DC6" w:rsidRPr="007709AE">
        <w:rPr>
          <w:rFonts w:ascii="仿宋_GB2312" w:eastAsia="仿宋_GB2312" w:hint="eastAsia"/>
          <w:sz w:val="28"/>
          <w:szCs w:val="28"/>
        </w:rPr>
        <w:t>系统中直接导入</w:t>
      </w:r>
      <w:r w:rsidR="00635DC6">
        <w:rPr>
          <w:rFonts w:ascii="仿宋_GB2312" w:eastAsia="仿宋_GB2312" w:hint="eastAsia"/>
          <w:sz w:val="28"/>
          <w:szCs w:val="28"/>
        </w:rPr>
        <w:t>。</w:t>
      </w:r>
    </w:p>
    <w:p w:rsidR="000D2143" w:rsidRPr="007709AE" w:rsidRDefault="00635DC6" w:rsidP="00635DC6">
      <w:pPr>
        <w:ind w:firstLine="560"/>
        <w:rPr>
          <w:rFonts w:ascii="仿宋_GB2312" w:eastAsia="仿宋_GB2312" w:hint="eastAsia"/>
          <w:sz w:val="28"/>
          <w:szCs w:val="28"/>
        </w:rPr>
      </w:pPr>
      <w:r>
        <w:rPr>
          <w:rFonts w:ascii="仿宋_GB2312" w:eastAsia="仿宋_GB2312" w:hint="eastAsia"/>
          <w:sz w:val="28"/>
          <w:szCs w:val="28"/>
        </w:rPr>
        <w:t>四、</w:t>
      </w:r>
      <w:r w:rsidR="000D2143" w:rsidRPr="007709AE">
        <w:rPr>
          <w:rFonts w:ascii="仿宋_GB2312" w:eastAsia="仿宋_GB2312" w:hint="eastAsia"/>
          <w:sz w:val="28"/>
          <w:szCs w:val="28"/>
        </w:rPr>
        <w:t>对于</w:t>
      </w:r>
      <w:r w:rsidR="001D4C2D">
        <w:rPr>
          <w:rFonts w:ascii="仿宋_GB2312" w:eastAsia="仿宋_GB2312" w:hint="eastAsia"/>
          <w:sz w:val="28"/>
          <w:szCs w:val="28"/>
        </w:rPr>
        <w:t>2019年之前的</w:t>
      </w:r>
      <w:r>
        <w:rPr>
          <w:rFonts w:ascii="仿宋_GB2312" w:eastAsia="仿宋_GB2312" w:hint="eastAsia"/>
          <w:sz w:val="28"/>
          <w:szCs w:val="28"/>
        </w:rPr>
        <w:t>获奖</w:t>
      </w:r>
      <w:r w:rsidR="000D2143" w:rsidRPr="007709AE">
        <w:rPr>
          <w:rFonts w:ascii="仿宋_GB2312" w:eastAsia="仿宋_GB2312" w:hint="eastAsia"/>
          <w:sz w:val="28"/>
          <w:szCs w:val="28"/>
        </w:rPr>
        <w:t>项目，由于数据格式不一致，可</w:t>
      </w:r>
      <w:r w:rsidR="001D4C2D">
        <w:rPr>
          <w:rFonts w:ascii="仿宋_GB2312" w:eastAsia="仿宋_GB2312" w:hint="eastAsia"/>
          <w:sz w:val="28"/>
          <w:szCs w:val="28"/>
        </w:rPr>
        <w:t>根据</w:t>
      </w:r>
      <w:r w:rsidR="000D2143" w:rsidRPr="007709AE">
        <w:rPr>
          <w:rFonts w:ascii="仿宋_GB2312" w:eastAsia="仿宋_GB2312" w:hint="eastAsia"/>
          <w:sz w:val="28"/>
          <w:szCs w:val="28"/>
        </w:rPr>
        <w:t>获奖单位</w:t>
      </w:r>
      <w:r w:rsidR="001D4C2D">
        <w:rPr>
          <w:rFonts w:ascii="仿宋_GB2312" w:eastAsia="仿宋_GB2312" w:hint="eastAsia"/>
          <w:sz w:val="28"/>
          <w:szCs w:val="28"/>
        </w:rPr>
        <w:t>需要导入，或由获奖单位</w:t>
      </w:r>
      <w:r w:rsidR="000D2143" w:rsidRPr="007709AE">
        <w:rPr>
          <w:rFonts w:ascii="仿宋_GB2312" w:eastAsia="仿宋_GB2312" w:hint="eastAsia"/>
          <w:sz w:val="28"/>
          <w:szCs w:val="28"/>
        </w:rPr>
        <w:t>自行补充项目内容，经</w:t>
      </w:r>
      <w:r w:rsidR="001D4C2D">
        <w:rPr>
          <w:rFonts w:ascii="仿宋_GB2312" w:eastAsia="仿宋_GB2312" w:hint="eastAsia"/>
          <w:sz w:val="28"/>
          <w:szCs w:val="28"/>
        </w:rPr>
        <w:t>协会</w:t>
      </w:r>
      <w:r w:rsidR="000D2143" w:rsidRPr="007709AE">
        <w:rPr>
          <w:rFonts w:ascii="仿宋_GB2312" w:eastAsia="仿宋_GB2312" w:hint="eastAsia"/>
          <w:sz w:val="28"/>
          <w:szCs w:val="28"/>
        </w:rPr>
        <w:t>审核之后公布。</w:t>
      </w:r>
    </w:p>
    <w:p w:rsidR="00C66AE6" w:rsidRPr="007709AE" w:rsidRDefault="00635DC6" w:rsidP="007709AE">
      <w:pPr>
        <w:ind w:firstLine="560"/>
        <w:rPr>
          <w:rFonts w:ascii="仿宋_GB2312" w:eastAsia="仿宋_GB2312" w:hint="eastAsia"/>
          <w:sz w:val="28"/>
          <w:szCs w:val="28"/>
        </w:rPr>
      </w:pPr>
      <w:r>
        <w:rPr>
          <w:rFonts w:ascii="仿宋_GB2312" w:eastAsia="仿宋_GB2312" w:hint="eastAsia"/>
          <w:sz w:val="28"/>
          <w:szCs w:val="28"/>
        </w:rPr>
        <w:t>五、本系统使用者应本着诚实守信、实事求是的原则，如实向协会申报材料，并对在系统内提交的、向行业和社会公开的全部信息负责，不得损害第三方知识产权和合法权益。协会对于提交虚假材料和单位和个人，记入信用不良记录，并通报相关主管部门。如因提交不实信息造成严重后果，协会保留追究相关当事人或企业责任的权利。</w:t>
      </w:r>
    </w:p>
    <w:sectPr w:rsidR="00C66AE6" w:rsidRPr="007709AE" w:rsidSect="00C66AE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213C3"/>
    <w:multiLevelType w:val="singleLevel"/>
    <w:tmpl w:val="3FF213C3"/>
    <w:lvl w:ilvl="0">
      <w:start w:val="1"/>
      <w:numFmt w:val="decimal"/>
      <w:suff w:val="nothing"/>
      <w:lvlText w:val="%1．"/>
      <w:lvlJc w:val="left"/>
      <w:pPr>
        <w:ind w:left="0" w:firstLine="400"/>
      </w:pPr>
      <w:rPr>
        <w:rFonts w:hint="default"/>
      </w:rPr>
    </w:lvl>
  </w:abstractNum>
  <w:abstractNum w:abstractNumId="1">
    <w:nsid w:val="6BE57C6B"/>
    <w:multiLevelType w:val="multilevel"/>
    <w:tmpl w:val="6BE57C6B"/>
    <w:lvl w:ilvl="0">
      <w:start w:val="1"/>
      <w:numFmt w:val="decimal"/>
      <w:pStyle w:val="3"/>
      <w:suff w:val="space"/>
      <w:lvlText w:val="%1."/>
      <w:lvlJc w:val="left"/>
      <w:pPr>
        <w:ind w:left="0" w:firstLine="0"/>
      </w:pPr>
      <w:rPr>
        <w:rFonts w:hint="eastAsia"/>
        <w:b w:val="0"/>
      </w:rPr>
    </w:lvl>
    <w:lvl w:ilvl="1">
      <w:start w:val="1"/>
      <w:numFmt w:val="decimal"/>
      <w:pStyle w:val="4"/>
      <w:suff w:val="space"/>
      <w:lvlText w:val="%1.%2."/>
      <w:lvlJc w:val="left"/>
      <w:pPr>
        <w:ind w:left="0" w:firstLine="0"/>
      </w:pPr>
      <w:rPr>
        <w:rFonts w:hint="eastAsia"/>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5"/>
      <w:suff w:val="space"/>
      <w:lvlText w:val="%1.%2.%3."/>
      <w:lvlJc w:val="left"/>
      <w:pPr>
        <w:ind w:left="0" w:firstLine="0"/>
      </w:pPr>
      <w:rPr>
        <w:rFonts w:hint="eastAsia"/>
      </w:rPr>
    </w:lvl>
    <w:lvl w:ilvl="3">
      <w:start w:val="1"/>
      <w:numFmt w:val="decimal"/>
      <w:pStyle w:val="6"/>
      <w:suff w:val="space"/>
      <w:lvlText w:val="%1.%2.%3.%4."/>
      <w:lvlJc w:val="left"/>
      <w:pPr>
        <w:ind w:left="0" w:firstLine="0"/>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2143"/>
    <w:rsid w:val="000D2143"/>
    <w:rsid w:val="00171CC8"/>
    <w:rsid w:val="001D06EA"/>
    <w:rsid w:val="001D4C2D"/>
    <w:rsid w:val="004014B3"/>
    <w:rsid w:val="0041709C"/>
    <w:rsid w:val="006301AA"/>
    <w:rsid w:val="00635DC6"/>
    <w:rsid w:val="006474DA"/>
    <w:rsid w:val="006E4F19"/>
    <w:rsid w:val="00764D75"/>
    <w:rsid w:val="007709AE"/>
    <w:rsid w:val="00966B03"/>
    <w:rsid w:val="009E617C"/>
    <w:rsid w:val="00A034A4"/>
    <w:rsid w:val="00A94EEB"/>
    <w:rsid w:val="00AF0E1F"/>
    <w:rsid w:val="00BC54E7"/>
    <w:rsid w:val="00C66AE6"/>
    <w:rsid w:val="00E744CE"/>
    <w:rsid w:val="00E839AE"/>
    <w:rsid w:val="00EB40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43"/>
    <w:pPr>
      <w:widowControl w:val="0"/>
      <w:spacing w:line="360" w:lineRule="auto"/>
      <w:ind w:firstLineChars="200" w:firstLine="200"/>
      <w:jc w:val="both"/>
    </w:pPr>
    <w:rPr>
      <w:rFonts w:eastAsia="仿宋"/>
      <w:sz w:val="24"/>
    </w:rPr>
  </w:style>
  <w:style w:type="paragraph" w:styleId="3">
    <w:name w:val="heading 3"/>
    <w:basedOn w:val="a"/>
    <w:next w:val="a"/>
    <w:link w:val="3Char"/>
    <w:unhideWhenUsed/>
    <w:qFormat/>
    <w:rsid w:val="000D2143"/>
    <w:pPr>
      <w:keepNext/>
      <w:keepLines/>
      <w:numPr>
        <w:numId w:val="1"/>
      </w:numPr>
      <w:ind w:firstLineChars="0"/>
      <w:outlineLvl w:val="2"/>
    </w:pPr>
    <w:rPr>
      <w:rFonts w:eastAsia="黑体"/>
      <w:bCs/>
      <w:szCs w:val="32"/>
    </w:rPr>
  </w:style>
  <w:style w:type="paragraph" w:styleId="4">
    <w:name w:val="heading 4"/>
    <w:basedOn w:val="a"/>
    <w:next w:val="a"/>
    <w:link w:val="4Char"/>
    <w:unhideWhenUsed/>
    <w:qFormat/>
    <w:rsid w:val="000D2143"/>
    <w:pPr>
      <w:keepNext/>
      <w:keepLines/>
      <w:numPr>
        <w:ilvl w:val="1"/>
        <w:numId w:val="1"/>
      </w:numPr>
      <w:ind w:firstLineChars="0"/>
      <w:jc w:val="left"/>
      <w:outlineLvl w:val="3"/>
    </w:pPr>
    <w:rPr>
      <w:rFonts w:ascii="黑体" w:eastAsia="黑体" w:hAnsiTheme="majorHAnsi" w:cstheme="majorBidi"/>
      <w:bCs/>
      <w:szCs w:val="28"/>
    </w:rPr>
  </w:style>
  <w:style w:type="paragraph" w:styleId="5">
    <w:name w:val="heading 5"/>
    <w:next w:val="a"/>
    <w:link w:val="5Char"/>
    <w:uiPriority w:val="9"/>
    <w:unhideWhenUsed/>
    <w:qFormat/>
    <w:rsid w:val="000D2143"/>
    <w:pPr>
      <w:keepNext/>
      <w:keepLines/>
      <w:numPr>
        <w:ilvl w:val="2"/>
        <w:numId w:val="1"/>
      </w:numPr>
      <w:spacing w:line="360" w:lineRule="auto"/>
      <w:outlineLvl w:val="4"/>
    </w:pPr>
    <w:rPr>
      <w:rFonts w:eastAsia="黑体"/>
      <w:bCs/>
      <w:sz w:val="24"/>
      <w:szCs w:val="28"/>
    </w:rPr>
  </w:style>
  <w:style w:type="paragraph" w:styleId="6">
    <w:name w:val="heading 6"/>
    <w:basedOn w:val="a"/>
    <w:next w:val="a"/>
    <w:link w:val="6Char"/>
    <w:uiPriority w:val="9"/>
    <w:unhideWhenUsed/>
    <w:qFormat/>
    <w:rsid w:val="000D2143"/>
    <w:pPr>
      <w:keepNext/>
      <w:keepLines/>
      <w:numPr>
        <w:ilvl w:val="3"/>
        <w:numId w:val="1"/>
      </w:numPr>
      <w:ind w:firstLineChars="0"/>
      <w:outlineLvl w:val="5"/>
    </w:pPr>
    <w:rPr>
      <w:rFonts w:asciiTheme="majorHAnsi" w:eastAsia="黑体" w:hAnsiTheme="majorHAnsi" w:cstheme="majorBidi"/>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0D2143"/>
    <w:rPr>
      <w:rFonts w:eastAsia="黑体"/>
      <w:bCs/>
      <w:sz w:val="24"/>
      <w:szCs w:val="32"/>
    </w:rPr>
  </w:style>
  <w:style w:type="character" w:customStyle="1" w:styleId="4Char">
    <w:name w:val="标题 4 Char"/>
    <w:basedOn w:val="a0"/>
    <w:link w:val="4"/>
    <w:rsid w:val="000D2143"/>
    <w:rPr>
      <w:rFonts w:ascii="黑体" w:eastAsia="黑体" w:hAnsiTheme="majorHAnsi" w:cstheme="majorBidi"/>
      <w:bCs/>
      <w:sz w:val="24"/>
      <w:szCs w:val="28"/>
    </w:rPr>
  </w:style>
  <w:style w:type="character" w:customStyle="1" w:styleId="5Char">
    <w:name w:val="标题 5 Char"/>
    <w:basedOn w:val="a0"/>
    <w:link w:val="5"/>
    <w:uiPriority w:val="9"/>
    <w:rsid w:val="000D2143"/>
    <w:rPr>
      <w:rFonts w:eastAsia="黑体"/>
      <w:bCs/>
      <w:sz w:val="24"/>
      <w:szCs w:val="28"/>
    </w:rPr>
  </w:style>
  <w:style w:type="character" w:customStyle="1" w:styleId="6Char">
    <w:name w:val="标题 6 Char"/>
    <w:basedOn w:val="a0"/>
    <w:link w:val="6"/>
    <w:uiPriority w:val="9"/>
    <w:rsid w:val="000D2143"/>
    <w:rPr>
      <w:rFonts w:asciiTheme="majorHAnsi" w:eastAsia="黑体" w:hAnsiTheme="majorHAnsi" w:cstheme="majorBidi"/>
      <w:bCs/>
      <w:sz w:val="24"/>
      <w:szCs w:val="24"/>
    </w:rPr>
  </w:style>
  <w:style w:type="paragraph" w:styleId="a3">
    <w:name w:val="List Paragraph"/>
    <w:basedOn w:val="a"/>
    <w:uiPriority w:val="34"/>
    <w:qFormat/>
    <w:rsid w:val="00171CC8"/>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2019-11-29T06:22:00Z</dcterms:created>
  <dcterms:modified xsi:type="dcterms:W3CDTF">2019-11-29T08:41:00Z</dcterms:modified>
</cp:coreProperties>
</file>